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</w:rPr>
        <w:t>Тема:</w:t>
      </w:r>
      <w:r w:rsidRPr="006330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0F7B">
        <w:rPr>
          <w:rFonts w:ascii="Times New Roman" w:eastAsia="Times New Roman" w:hAnsi="Times New Roman"/>
          <w:b/>
          <w:sz w:val="28"/>
          <w:szCs w:val="28"/>
        </w:rPr>
        <w:t xml:space="preserve">Судебно-генетическая экспертиза. </w:t>
      </w:r>
      <w:r w:rsidRPr="006330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330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24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63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r w:rsidRPr="00633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понятие о вещественном доказательстве, вещественном доказательстве биологического происхождения; судебно-биологическая экспертиза, генетическая экспертиза,  основные понятия разрешаемые вопросы; судебно-химическая экспертиза; медико-криминалистическая экспертиза, ее виды, разрешаемые вопросы; судебно-медицинская идентификация орудия преступления и личности человека.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304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Аннотация лекции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 xml:space="preserve">1.Понятие о вещественном доказательстве, вещественном доказательстве биологического происхождения.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Вещественные доказательства обладают большим объемом розыскной 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доказательственной информации, что обусловливает их значимость и отводит особое место в судебной медицине. Многие авторы именуют судебную медицину медициной в праве или правовой медициной, подчеркивая тем самым, что она выполняет правовые заказы и служит интересам правосудия. Судебная медицина вообще и экспертиза вещественных доказательств в частности обусловлены потребностями права.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 соответствии со ст.83 УПК РФ «вещественными доказательствами являются предметы, которые служили орудиями преступления, сохранили на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себе следы преступления или были объектами преступных действий обвиняемого, а также все иные предметы, которые могут служить средствами к обнаружению преступления и выявлению виновных либо к опровержению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обвинения или смягчения вины обвиняемого».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Перечисленные в ст.83 УПК РФ положения влекут за собой необходимость решения процессуальных и организационно-методических вопросов,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возникающих при изучении вещественных доказательств, так как результаты исследования, к сожалению, зависят  не только от правильно исполненной работы, но и качества изъятия биологического материала, осмотра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места происшествия, времени между изъятием и направлением материала в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лабораторию, предоставления сравнительных образцов и др. Отсюда — необходимость четкого решения перечисленных выше вопросов.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Следы биологического происхождения </w:t>
      </w:r>
      <w:r w:rsidRPr="00633045">
        <w:rPr>
          <w:rFonts w:ascii="Times New Roman" w:eastAsia="TimesNewRoman" w:hAnsi="Times New Roman"/>
          <w:sz w:val="28"/>
          <w:szCs w:val="28"/>
        </w:rPr>
        <w:t>обнаруживаются при осмотре места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происшествия, обысках, освидетельствовании подозреваемых и потерпевших, вскрытии трупов. Вещественными доказательствами все эти следы становятся лишь после изъятия, оформления соответствующего документа об этом изъятии и направлении на экспертизу.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2.Судебно-биологическая экспертиза.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Судебно-биологические экспертизы проводятся лишь на основании постановлений следователей и определений, вынесенных судами. Проведение таких экспертиз регламентируется правилами, инструкциями, ведомственными приказами. Вместе с постановлением (определением) в отделение должен быть направлен протокол изъятия вещественных доказательств и образцов.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На основании документов, свидетельствующих о назначении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эксперти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зы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, эксперт оформляет документ — </w:t>
      </w: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«Заключение эксперта», 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имеющее унифицированную структуру построения. Заключение состоит из титульного стандартного листа, изложения вопросов постановления и обстоятельств дела, исследовательской части и выводов. Этот документ существует в двух экземплярах, один из которых направляется в учреждение, назначившее экспертизу, а второй хранится в отделении. Следует иметь в виду, что титульный лист, введение и описание вещественных доказательств по сути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одноплановы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для всех видов экспертиз, а исследовательская часть находится в прямой зависимости от вида исполняемой работы и поэтому отличается друг от друга.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В судебно-биологических отделениях исполняются </w:t>
      </w: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 xml:space="preserve">виды экспертиз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сле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дующих биологических объектов: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крови;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выделений;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волос;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костных останков и ногтевых фрагментов, зубов;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• тканей и органов.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После изучения поступивших в отделение документов эксперт осматривает свертки с вещественными доказательствами и прежде всего внимание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должно быть обращено на упаковку — ее целостность. Это обязательное ус-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ловие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при приеме экспертизы. Любые нарушения упаковки должны быть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зафиксированы, оформлены соответствующим актом, о выявленных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недо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четах сообщают следователю или судье. Подобный акт подписывают 3 со-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трудника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отделения, присутствующие при приеме вещественных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доказа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тельств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Осмотрев и описав упаковку, эксперт приступает к осмотру и описанию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содержимого свертков, ящиков, пакетов. При описании вещественных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должен соблюдаться следующий принцип: изучаемая вещь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должна быть опознана на любом этапе следствия и суда. Для достижения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этой цели существует целый ряд признаков, которые обязательно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учитыва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ются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при описании вещественных доказательств. К подобным признакам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относятся фактура ткани, ее цвет, оттенок; степень загрязненности вещи,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наличие и характер дефектов; размеры предмета по основным параметрам,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индивидуальные особенности.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Если на экспертизу поступили орудия преступления, то при их описании необходимо использовать криминалистическую терминологию во избежание возможных последующих расхождений с описанием этих же орудий, исследованных в медико-криминалистических отделениях. Для объективизации данных рекомендуется фотографировать изучаемые предметы или отображать их состояние на специальных схемах с указанием локализации, формы и размеров следов.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Исследование различных следов на вещественных доказательствах всегда сопровождается изучением различных образцов (кровь, слюна, сперма,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волосы), взятых от проходящих по делу лиц. В противном случае без образцов невозможно делать экспертные выводы.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Получение образцов — это отдельное следственное действие, которое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может осуществляться следователем. Забор образцов регламентируется ст.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186 УПК РФ, в которой указано, что для этого должно быть вынесено по-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становление или определение, если вопрос решается в суде.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Образцы крови, слюны и волос, безусловно, лучше всего брать в судебно-биологическом отделении, но это можно сделать и в поликлиниках,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ам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булаториях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, больницах и доставить в отделение вместе с соответствующим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протоколом. Образцы крови берут из пальца (в некоторых случаях из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ве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ны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); количество крови 2 мл. Если доставка крови осуществляется в тот же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день или на следующий, кровь можно сохранить в жидком виде во флакончике или пробирке в холодильнике, если же время доставки превышает указанные сроки, то необходимо параллельно с жидкой кровью из части ее готовить пятно на сложенной в несколько раз марле. Это пятно после высушивания при комнатной температуре упаковывают в конверт, последний подробно надписывают (с подписями следователя и лица, бравшего кровь) и направляют вместе с жидкой кровью в судебно-биологическое отделение.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Если речь идет об образце крови из трупа, то вскрывающий труп эксперт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должен делать забор крови из полостей сердца или крупных сосудов. Образец крови, взятой из полостей тела, чаще всего оказывается непригодным для сравнительного изучения.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/>
          <w:i/>
          <w:iCs/>
          <w:sz w:val="28"/>
          <w:szCs w:val="28"/>
        </w:rPr>
      </w:pPr>
      <w:r w:rsidRPr="00633045">
        <w:rPr>
          <w:rFonts w:ascii="Times New Roman" w:eastAsia="TimesNewRoman,Italic" w:hAnsi="Times New Roman"/>
          <w:i/>
          <w:iCs/>
          <w:sz w:val="28"/>
          <w:szCs w:val="28"/>
        </w:rPr>
        <w:t>Обязательные требования к изъятию и направлению следов на экспертизу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следующие: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- нельзя упаковывать влажные предметы, предварительно такие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объек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ты высушивают при комнатной температуре и только затем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вкладыва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ют их в пакеты, свертки, конверты;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- каждый предмет упаковывают по отдельности;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- делают подробные надписи о содержимом пакета;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-  помимо подписи лица, обнаружившего и изъявшего вещественное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казательство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, на свертке должны быть подписи понятых и эксперта,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если последний присутствовал при изъятии.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i/>
          <w:sz w:val="28"/>
          <w:szCs w:val="28"/>
        </w:rPr>
        <w:t xml:space="preserve">Построение экспертных выводов </w:t>
      </w:r>
      <w:r w:rsidRPr="00633045">
        <w:rPr>
          <w:rFonts w:ascii="Times New Roman" w:eastAsia="TimesNewRoman" w:hAnsi="Times New Roman"/>
          <w:sz w:val="28"/>
          <w:szCs w:val="28"/>
        </w:rPr>
        <w:t>является завершающим этапом работы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судебно-медицинского эксперта, и от того, насколько правильно эксперт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оценит полученные результаты и насколько квалифицированно и четко изложит их в значительной степени зависит работа следователей, так как последние по многим вопросам основываются на данных экспертизы.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Принципы построения экспертных выводов независимо от вида экспертизы практически едины и имеют две составные части — </w:t>
      </w:r>
      <w:r w:rsidRPr="00633045">
        <w:rPr>
          <w:rFonts w:ascii="Times New Roman" w:eastAsia="TimesNewRoman" w:hAnsi="Times New Roman"/>
          <w:i/>
          <w:sz w:val="28"/>
          <w:szCs w:val="28"/>
        </w:rPr>
        <w:t>констатирующую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и </w:t>
      </w:r>
      <w:r w:rsidRPr="00633045">
        <w:rPr>
          <w:rFonts w:ascii="Times New Roman" w:eastAsia="TimesNewRoman" w:hAnsi="Times New Roman"/>
          <w:i/>
          <w:sz w:val="28"/>
          <w:szCs w:val="28"/>
        </w:rPr>
        <w:t>заключительную,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в которой полученные данные соотносятся с проходящими по делу лицами.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 первой части излагаются сведения о групповой характеристике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и категории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выделительства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(если это имеет значение в данном деле)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ука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занных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 постановлении лиц. Затем указываются результаты, полученные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 изучении следов на вещественных доказательствах. Эти результаты со-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измеряются с групповыми характеристиками потерпевших и подозреваемых (обвиняемых), что и в конечном итоге исключает или подтверждает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присутствие крови и выделений этих людей.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 наличии большого количества предметов, подвергнутых изучению, их следует объединять либо по общности результатов, либо по конкретной принадлежности какому-либо человеку. Если не следовать этой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рекомендации, то выводы придется делать по каждому предмету, что, без-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условно, приведет к множественным повторам и сделает выводы излишне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громоздкими. Сгруппировав по какому-либо признаку вещественные до-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казательства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, эксперт делает самостоятельный вывод по каждой группе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вещей.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 тех случаях, когда при исследовании следов на одном и том же предмете получены различные результаты, необходимо выделить эти следы,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указав либо их локализацию, либо номер того объекта, который был при-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дан следу при описании вещественного доказательства. Составление выводов по каждому конкретному виду экспертиз имеет свои отличия.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крови.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При условии несовпадения группы крови в следах на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вещественных доказательствах с группой крови убитого или подозреваемого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вывод прост: исключается возможность принадлежности крови конкретному человеку. Гораздо сложнее решать вопрос при совпадении групп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крови. Если в силу объективных причин исследование проводилось только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 системе АВО, то вывод составляется приблизительно так: «в пределах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проведенного по системе АВО исследования происхождение крови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возмож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но как..., так и от ...». В то же время ограничиваться исследованиями только системы АВО при совпадении групп недопустимо, необходимо прилагать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все усилия к дифференцированию образцов и следов по иным системам,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полу, если это возможно. При малых следах наиболее грамотно начинать всю работу с исследования образцов с целью выявления в них различий по какой-либо доступной системе и, если оно будет найдено, начинать исследование пятна именно по этой системе. Это может резко повысить достоверность экспертных выводов.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Если вещественные доказательства поступили в лабораторию без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жертвы или виновного (по объективным причинам), экспертизу обязательно проводят с целью получения возможной информации о группе крови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того человека, образец от которого отсутствует.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выделений.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 связи с тем что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выделения, в частности сперма, чрезвычайно редко встречаются в изолированном виде, выводы таких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экспертиз гораздо сложнее, чем экспертиз крови. Сложность усугубляется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 тем, что выраженность антигенов в крови и выделениях различна. По-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скольку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конечной целью выводов является необходимость решить вопрос 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присутствии крови и выделений конкретных лиц, прежде всего следует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обосновать происхождение выявленных антигенов: говоря о выделениях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принято не указывать группу, а говорить о человеке, в выделениях которого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содержится тот или иной антиген, и далее, если лицо, проходящее по делу,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имеет такой антиген, высказаться о вероятности присутствия его выделений.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При построении выводов в экспертизах </w:t>
      </w:r>
      <w:r w:rsidRPr="00633045">
        <w:rPr>
          <w:rFonts w:ascii="Times New Roman" w:eastAsia="TimesNewRoman" w:hAnsi="Times New Roman"/>
          <w:i/>
          <w:sz w:val="28"/>
          <w:szCs w:val="28"/>
        </w:rPr>
        <w:t>половых преступлений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прежде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всего исходят из принадлежности вещественного доказательства. Напри-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мер, тампон с содержимым влагалища: естественно, один из обнаруженных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антигенов в первую очередь принадлежит потерпевшей, но частично он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может происходить и за счет спермы. Несвойственный потерпевшей анти-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ген происходит только за счет спермы.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Далее  следует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 xml:space="preserve"> вывод о возможной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или невозможной принадлежности спермы мужчине, проходящему в качестве подозреваемого (обвиняемого). Если пятно находится на вещах мужчины, то прежде всего анализируют присущий ему антиген, а затем высказываются по поводу антигена, ему несвойственного. Если исследовались пятна на постельном белье, чехлах и др., то решение вопроса о происхождении антигенов еще больше усложняется, и в таком случае уместна оговорка о том, что при изучении смешанных следов (указать, каких) антигены крови и выделений открываются применяемыми реакциями одномоментно и поэтому вывод о происхождении этих антигенов не может быть конкретным. Далее, исходя из групп крови проходящих по делу лиц, делают те или иные предположения.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 </w:t>
      </w: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волос.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Принципиально построение выводов в этих экспертизах не отличается от иных видов исследований. После изложения данных о группах крови четко приводятся обобщенные результаты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морфологичес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кого и серологического исследования волос-улик и далее — основной экс-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пертный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вывод о возможности либо невозможности происхождения волос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от того или иного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человека.О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волосах животных пишут кратко и, если это подтверждено, то указывают, какому конкретно виду животного принадлежат волосы. Если эксперту неясно, с каким животным он имел дело, можно ограничиться только констатацией факта о происхождении волос от животного.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b/>
          <w:i/>
          <w:sz w:val="28"/>
          <w:szCs w:val="28"/>
        </w:rPr>
        <w:t>Экспертиза костей, зубов, ногтей.</w:t>
      </w:r>
      <w:r w:rsidRPr="00633045">
        <w:rPr>
          <w:rFonts w:ascii="Times New Roman" w:eastAsia="TimesNewRoman" w:hAnsi="Times New Roman"/>
          <w:sz w:val="28"/>
          <w:szCs w:val="28"/>
        </w:rPr>
        <w:t xml:space="preserve"> Учитывая перечисленные ранее </w:t>
      </w: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слож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ности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в работе с этим материалом, в экспертных выводах следует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в основ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 xml:space="preserve">ном говорить о выявленных в материале антигенах, а не </w:t>
      </w:r>
      <w:proofErr w:type="gramStart"/>
      <w:r w:rsidRPr="00633045">
        <w:rPr>
          <w:rFonts w:ascii="Times New Roman" w:eastAsia="TimesNewRoman" w:hAnsi="Times New Roman"/>
          <w:sz w:val="28"/>
          <w:szCs w:val="28"/>
        </w:rPr>
        <w:t>о групповой при</w:t>
      </w:r>
      <w:proofErr w:type="gramEnd"/>
      <w:r w:rsidRPr="00633045">
        <w:rPr>
          <w:rFonts w:ascii="Times New Roman" w:eastAsia="TimesNewRoman" w:hAnsi="Times New Roman"/>
          <w:sz w:val="28"/>
          <w:szCs w:val="28"/>
        </w:rPr>
        <w:t>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633045">
        <w:rPr>
          <w:rFonts w:ascii="Times New Roman" w:eastAsia="TimesNewRoman" w:hAnsi="Times New Roman"/>
          <w:sz w:val="28"/>
          <w:szCs w:val="28"/>
        </w:rPr>
        <w:t>надлежности</w:t>
      </w:r>
      <w:proofErr w:type="spellEnd"/>
      <w:r w:rsidRPr="00633045">
        <w:rPr>
          <w:rFonts w:ascii="Times New Roman" w:eastAsia="TimesNewRoman" w:hAnsi="Times New Roman"/>
          <w:sz w:val="28"/>
          <w:szCs w:val="28"/>
        </w:rPr>
        <w:t xml:space="preserve"> человека, которому кости и другие материалы могли бы при-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t>надлежать. Особенно это касается таких случаев, когда на исследование по-</w:t>
      </w:r>
    </w:p>
    <w:p w:rsidR="00FC0C0E" w:rsidRPr="00633045" w:rsidRDefault="00FC0C0E" w:rsidP="00FC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33045">
        <w:rPr>
          <w:rFonts w:ascii="Times New Roman" w:eastAsia="TimesNewRoman" w:hAnsi="Times New Roman"/>
          <w:sz w:val="28"/>
          <w:szCs w:val="28"/>
        </w:rPr>
        <w:lastRenderedPageBreak/>
        <w:t>ступает только один фрагмент и никакое сравнительное исследование с другим материалом невозможно.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 xml:space="preserve">3. Генетическая экспертиза.  Основные понятия разрешаемые вопросы. 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наиболее точные и доказательные результаты исследования объектов биологического происхождения обеспечивает молекулярно-генетический идентификационный анализ, который проводится в рамках судебной генетической экспертизы.</w:t>
      </w:r>
      <w:r w:rsidRPr="00633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045">
        <w:rPr>
          <w:rFonts w:ascii="Times New Roman" w:hAnsi="Times New Roman"/>
          <w:i/>
          <w:iCs/>
          <w:sz w:val="28"/>
          <w:szCs w:val="28"/>
          <w:lang w:eastAsia="ru-RU"/>
        </w:rPr>
        <w:t>Судебная генетическая экспертиза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требуются для  установления степени родства людей (например, при воссоединении семейств, решении юридических проблем, определении совместимости тканей и т.д.). Так как в ДНК отражаются все индивидуальные особенности человека, то результат этого исследования остается неизменным всегда, независимо от вида биоматериала, возраста, болезней и прочих факторов.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Проведение генетической экспертизы необходимо в случаях:</w:t>
      </w:r>
    </w:p>
    <w:p w:rsidR="00FC0C0E" w:rsidRPr="00633045" w:rsidRDefault="00FC0C0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исследование случаев спорного отцовства (</w:t>
      </w:r>
      <w:hyperlink r:id="rId5" w:tgtFrame="_blank" w:history="1">
        <w:r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определение отцовства по ДНК</w:t>
        </w:r>
      </w:hyperlink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C0C0E" w:rsidRPr="00633045" w:rsidRDefault="00627C93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исследование случаев спорного материнства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C0E" w:rsidRPr="00633045" w:rsidRDefault="00627C93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исследование родства по мужской и материнской линии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- (дядя/племянник, дедушка/внук, тётя/племянники, бабушка/внуки и др.)</w:t>
      </w:r>
    </w:p>
    <w:p w:rsidR="00FC0C0E" w:rsidRPr="00633045" w:rsidRDefault="00627C93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gtFrame="_blank" w:history="1">
        <w:r w:rsidR="00FC0C0E" w:rsidRPr="00633045">
          <w:rPr>
            <w:rFonts w:ascii="Times New Roman" w:eastAsia="Times New Roman" w:hAnsi="Times New Roman"/>
            <w:sz w:val="28"/>
            <w:szCs w:val="28"/>
            <w:lang w:eastAsia="ru-RU"/>
          </w:rPr>
          <w:t>ДНК-идентификация объектов повышенной сложности</w:t>
        </w:r>
      </w:hyperlink>
      <w:r w:rsidR="00FC0C0E" w:rsidRPr="00633045">
        <w:rPr>
          <w:rFonts w:ascii="Times New Roman" w:eastAsia="Times New Roman" w:hAnsi="Times New Roman"/>
          <w:sz w:val="28"/>
          <w:szCs w:val="28"/>
          <w:lang w:eastAsia="ru-RU"/>
        </w:rPr>
        <w:t>, например, волосы, различные ткани;</w:t>
      </w:r>
    </w:p>
    <w:p w:rsidR="00FC0C0E" w:rsidRPr="00633045" w:rsidRDefault="00FC0C0E" w:rsidP="00FC0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ДНК-исследование объектов, связанных с половыми преступлениями (отождествление спермы с конкретным  индивидуумом) и прочие задачи, для решения которых требуются методы ДНК-идентификации.</w:t>
      </w:r>
    </w:p>
    <w:p w:rsidR="00FC0C0E" w:rsidRPr="00633045" w:rsidRDefault="00FC0C0E" w:rsidP="00FC0C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наиболее востребованных экспертиз - </w:t>
      </w: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генетическая экспертиза на установление отцовства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. Она позволяет определить биологическое родство между предполагаемым отцом и ребенком на основе сопоставления участков ДНК. ДНК-тест можно проводить по крови, по слюне, по волосам, по ногтям и т.д. Метод установления отцовства гарантируют точность полученных результатов при соблюдении правил сбора и хранения биоматериала. В случае отрицательного заключения: «не является отцом» - точность 100</w:t>
      </w:r>
      <w:proofErr w:type="gram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%,  а</w:t>
      </w:r>
      <w:proofErr w:type="gram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положительного заключения: «является отцом» - точность 99,99%. </w:t>
      </w:r>
      <w:r w:rsidRPr="006330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Проведение экспертизы ДНК</w:t>
      </w: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важно для оспаривания отцовства в судах.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Объектами-носителями генетического материала (ДНК) являются любые выделения человеческого организма (кроме пота) или частицы его тканей и органов. К источникам ДНК относятся: биологические жидкости (кровь, сперма, слюна и др.) в жидком виде или в виде пятна на различных предметах; волосы; фрагменты тканей человеческого тела (кусочки кожи, фрагменты мышц, отдельные кости и их фрагменты, выбитый зуб) и т.п. Доказательная информация может быть получена и при исследовании минимального количества биологического материала: единичного волоса, окурка,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подногтевого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содержимого жертвы и другое, а также при исследовании старых и деградированных (частично разрушенных) образцов. Это обусловлено тем, что в ходе проведенных реакций количество копий необходимого участка ДНК увеличивается в миллионы раз [9–11]. Особенно актуально проведение данного вида экспертизы при расследовании серийных убийств, так как позволяет проводить исследования с минимальным количеством материала: зачастую преступники стараются уничтожить следы своего пребывания на месте происшествия (например, замывают следы крови водой, сжигают или застирывают одежду со следами крови и др.); трупы жертв насилия обнаруживают спустя большой промежуток времени с момента исчезновения, что снижает возможности обнаружения биологического материала, пригодного для исследования (например, разрушение следов крови в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подногтевом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содержимом ввиду гнилостных процессов мягких тканей трупа) и т.д. Возможности генетических исследований при расследовании половых преступлений позволяют получать доказательственные результаты при анализе смеси биологических жидкостей нескольких лиц путем изучения полиморфизма Y-хромосомы. Поскольку Y-хромосома имеется только у мужчин, наличие ДНК женского происхождения не мешает выявлению полиморфизма Y-хромосомы. Последнее обстоятельство важно при анализе смесей биологических жидкостей типа «мужчина-женщина», характерных для большинства серийных сексуальных убийств. Результаты ДНК-анализа спермы, обнаруженной в половых путях потерпевших, на их одежде, при расследовании серийных убийств на сексуальной почве позволяют сделать категорический вывод о совершении группы таких убийств одним и тем же лицом. </w:t>
      </w:r>
    </w:p>
    <w:p w:rsidR="00FC0C0E" w:rsidRPr="00633045" w:rsidRDefault="00FC0C0E" w:rsidP="00FC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назначении экспертизы по биологическим следам необходимо помнить о неоспоримом преимуществе в доказывании по уголовным делам результатов генетической экспертизы перед серологией. Некоторые следователи предпочитают сначала назначать серологическую экспертизу, а в зависимости от ее результатов решать вопрос о необходимости исследования ДНК. Данная позиция может быть оправдана в тех ситуациях, когда биологического материала на исследуемых объектах достаточное количество и расследование не ограничено во времени.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tabs>
          <w:tab w:val="left" w:pos="1276"/>
        </w:tabs>
        <w:spacing w:after="0" w:line="240" w:lineRule="auto"/>
        <w:ind w:left="1353"/>
        <w:contextualSpacing/>
        <w:jc w:val="both"/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b/>
          <w:color w:val="17365D"/>
          <w:sz w:val="28"/>
          <w:szCs w:val="28"/>
          <w:lang w:eastAsia="ru-RU"/>
        </w:rPr>
        <w:t>4.Судебно-химическая экспертиза.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Судебно-химическая экспертиза осуществляется в судебно-химическом отделении бюро судебно-медицинских экспертиз и проводится с целью выделить, идентифицировать и количественно определить (либо исключить) ядовитые, наркотические и сильнодействующие вещества и продукты их превращения в органах и тканях человека. Кроме того, исследованию подвергаются фармацевтические препараты, пищевые продукты, напитки, табачные изделия, окружающая человека среда и предметы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Обнаружение и идентификация химических и лекарственных веществ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прповодятся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предварительных методов — цветных реакций, тонкослойной хроматографии, иммуноферментного анализа, а также подтверждающих методов —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спектрофотометрии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видимой, ультрафиолетовой и инфракрасной областях, атомно-абсорбционной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спектрофотометрии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газожидкостной хроматографии, </w:t>
      </w:r>
      <w:proofErr w:type="spellStart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хроматомасс</w:t>
      </w:r>
      <w:proofErr w:type="spellEnd"/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-спектрометрии. 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Судебно-химическая экспертиза может проводиться и как основная, и как дополнительная экспертиза. Основную судебно-химическая экспертизу проводят при наличии постановления, выданного дознавателем, следователем, прокурором или судьей, определения суда либо определения лица, которое рассматривает дело об административных правонарушениях. Дополнительную судебно-химическую экспертизу производят при экспертизе трупа либо живого лица при наличии письменного направления судебно-медицинского эксперта или постановления лица, назначившего экспертизу.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судебно-химической экспертизы либо изымаются целиком, либо с них делают соскоб. Материал для экспертизы должен быть упакован таким образом, чтобы он был защищен от загрязнения посторонними примесями. Жидкие материалы должны быть направлены на экспертизу в чистой стеклянной посуде с притертой пробкой. Твердые вещества заворачивают в чистую бумагу. 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 судебно-химическую лабораторию объекта исследования направляются вместе со следующими сопроводительными документами: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1) сопроводительным отношением, которое содержит информацию о том, кому, с какой  целью и что именно направляется;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2) постановлением о назначении судебно-химической экспертизы вещественных доказательств, которое содержит предварительные сведения об обстоятельствах дела, подлежащие разрешению вопросы, перечисление направляемых объектов исследования;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3) выпиской из акта о судебно-медицинском исследовании трупа, содержащей сведения об основных результатах вскрытия и указание на 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цель судебно-химического исследования;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4) копией медицинской карты стационарного или амбулаторного больного в том случае, если потерпевшему была оказана медицинская помощь;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5) при повторных исследованиях — копией заключения эксперта или 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актом первичного судебно-химического исследования.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Основная судебно-химическая экспертиза разрешает следующие вопросы: 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Какой состав и название имеет представленное вещество?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Однородны ли по своему составу исследованный объект и образец?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Относится ли объект, представленный на экспертизу к определенным веществам (наркотическим, сильнодействующим, ядовитым, </w:t>
      </w:r>
    </w:p>
    <w:p w:rsidR="00FC0C0E" w:rsidRPr="00633045" w:rsidRDefault="00FC0C0E" w:rsidP="00FC0C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взрывчатым и т. д.)?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Содержит ли объект какие-либо примеси?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>- Содержит ли исследуемый объект вещество, которое при возникновении определенных условий может быть ядом? Если содержит, то какое именно вещество и в каком количестве?</w:t>
      </w:r>
    </w:p>
    <w:p w:rsidR="00FC0C0E" w:rsidRPr="00633045" w:rsidRDefault="00FC0C0E" w:rsidP="00FC0C0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045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Содержит ли исследуемый материал вредные для здоровья вещества и какие именно?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10"/>
          <w:szCs w:val="24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4. Форма организации лекции:  лекция с опорным конспектированием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(в том числе активные и интерактивные).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FC0C0E" w:rsidRPr="00633045" w:rsidRDefault="00FC0C0E" w:rsidP="00FC0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- дидактические: таблицы, схемы, плакаты, раздаточный материал и - материально-технические (мел, доска, </w:t>
      </w:r>
      <w:proofErr w:type="spellStart"/>
      <w:r w:rsidRPr="00633045">
        <w:rPr>
          <w:rFonts w:ascii="Times New Roman" w:eastAsia="Times New Roman" w:hAnsi="Times New Roman"/>
          <w:color w:val="000000"/>
          <w:sz w:val="28"/>
          <w:szCs w:val="28"/>
        </w:rPr>
        <w:t>кадаскоп</w:t>
      </w:r>
      <w:proofErr w:type="spellEnd"/>
      <w:r w:rsidRPr="00633045">
        <w:rPr>
          <w:rFonts w:ascii="Times New Roman" w:eastAsia="Times New Roman" w:hAnsi="Times New Roman"/>
          <w:color w:val="000000"/>
          <w:sz w:val="28"/>
          <w:szCs w:val="28"/>
        </w:rPr>
        <w:t xml:space="preserve">, мультимедийный проектор, интерактивная доска и т.д.: </w:t>
      </w:r>
    </w:p>
    <w:p w:rsidR="002031D3" w:rsidRDefault="002031D3">
      <w:pPr>
        <w:rPr>
          <w:rFonts w:eastAsia="Times New Roman"/>
        </w:rPr>
      </w:pPr>
    </w:p>
    <w:p w:rsidR="00640F7B" w:rsidRPr="00640F7B" w:rsidRDefault="00640F7B">
      <w:pPr>
        <w:rPr>
          <w:rFonts w:ascii="Times New Roman" w:eastAsia="Times New Roman" w:hAnsi="Times New Roman"/>
          <w:b/>
          <w:sz w:val="28"/>
          <w:szCs w:val="28"/>
        </w:rPr>
      </w:pPr>
      <w:r w:rsidRPr="00640F7B">
        <w:rPr>
          <w:rFonts w:ascii="Times New Roman" w:eastAsia="Times New Roman" w:hAnsi="Times New Roman"/>
          <w:b/>
          <w:sz w:val="28"/>
          <w:szCs w:val="28"/>
        </w:rPr>
        <w:t xml:space="preserve">Тестирование.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1. Перенос информации с ДНК на РНК –это: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А)транскрипция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трансляция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В)трансмиссия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Г)элонгация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2. Термин «геном» предложил: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А)</w:t>
      </w:r>
      <w:proofErr w:type="spellStart"/>
      <w:r w:rsidRPr="00640F7B">
        <w:rPr>
          <w:rFonts w:ascii="Times New Roman" w:hAnsi="Times New Roman"/>
          <w:sz w:val="28"/>
          <w:szCs w:val="28"/>
        </w:rPr>
        <w:t>Винкер</w:t>
      </w:r>
      <w:proofErr w:type="spellEnd"/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Б)</w:t>
      </w:r>
      <w:proofErr w:type="spellStart"/>
      <w:r w:rsidRPr="00640F7B">
        <w:rPr>
          <w:rFonts w:ascii="Times New Roman" w:hAnsi="Times New Roman"/>
          <w:sz w:val="28"/>
          <w:szCs w:val="28"/>
        </w:rPr>
        <w:t>Ковалье</w:t>
      </w:r>
      <w:proofErr w:type="spellEnd"/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В)Эрнст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Г)Сеченов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3. В каком году была описана ДНК-полимераза?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А)1977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Б)1898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1959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1967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4.  Кариотип - это …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совокупность признаков полного набора хромосом, присущая клеткам данного биологического вида, данного организма или линии клеток.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совокупность признаков полного набора хромосом, присущая клеткам любого биологического вида.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совокупность свойств полного набора хромосом.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 совокупность числа хромосом клеток данного биологического вида.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5. Самой первой ДНК-полимеразой, которая в полной мере соответствовала потребностям нагревания является: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А)ДНК</w:t>
      </w:r>
      <w:proofErr w:type="gramEnd"/>
      <w:r w:rsidRPr="00640F7B">
        <w:rPr>
          <w:rFonts w:ascii="Times New Roman" w:hAnsi="Times New Roman"/>
          <w:sz w:val="28"/>
          <w:szCs w:val="28"/>
        </w:rPr>
        <w:t>-полимераза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Б)ТАМ</w:t>
      </w:r>
      <w:proofErr w:type="gramEnd"/>
      <w:r w:rsidRPr="00640F7B">
        <w:rPr>
          <w:rFonts w:ascii="Times New Roman" w:hAnsi="Times New Roman"/>
          <w:sz w:val="28"/>
          <w:szCs w:val="28"/>
        </w:rPr>
        <w:t>-полимераза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В)N-</w:t>
      </w:r>
      <w:proofErr w:type="spellStart"/>
      <w:r w:rsidRPr="00640F7B">
        <w:rPr>
          <w:rFonts w:ascii="Times New Roman" w:hAnsi="Times New Roman"/>
          <w:sz w:val="28"/>
          <w:szCs w:val="28"/>
        </w:rPr>
        <w:t>урацилгликолаза</w:t>
      </w:r>
      <w:proofErr w:type="spellEnd"/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ТАГ-полимераза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6. Размер генома человека составляет: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23 пары хромосом: 22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 xml:space="preserve">Б) 24 пары хромосом: 22 пары аутосомных хромосом, а также двух пар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22 пары хромосом: 21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21 пары хромосом: 20 пары аутосомных хромосом, а также пара половых хромосом X и Y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7. Сколько стадий включает автономное </w:t>
      </w:r>
      <w:proofErr w:type="spellStart"/>
      <w:r w:rsidRPr="00640F7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ДНК?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А)3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Б)2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В)6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Г)8 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8. Что такое </w:t>
      </w:r>
      <w:proofErr w:type="spellStart"/>
      <w:r w:rsidRPr="00640F7B">
        <w:rPr>
          <w:rFonts w:ascii="Times New Roman" w:hAnsi="Times New Roman"/>
          <w:sz w:val="28"/>
          <w:szCs w:val="28"/>
        </w:rPr>
        <w:t>микросателлиты</w:t>
      </w:r>
      <w:proofErr w:type="spellEnd"/>
      <w:r w:rsidRPr="00640F7B">
        <w:rPr>
          <w:rFonts w:ascii="Times New Roman" w:hAnsi="Times New Roman"/>
          <w:sz w:val="28"/>
          <w:szCs w:val="28"/>
        </w:rPr>
        <w:t>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 варьирующие участки (локусы) в ядерной ДНК и ДНК органелл (</w:t>
      </w:r>
      <w:r w:rsidRPr="00640F7B">
        <w:rPr>
          <w:rFonts w:ascii="Times New Roman" w:hAnsi="Times New Roman"/>
          <w:sz w:val="28"/>
          <w:szCs w:val="28"/>
        </w:rPr>
        <w:tab/>
        <w:t xml:space="preserve">митохондрий и пластид), состоящие из повторяющихся фрагментов длиной от 1 до 6 пар оснований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варьирующие участки (локусы) в РНК, состоящие из повторяющихся фрагментов длиной от 1 до 6 пар оснований 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9. Сколько хромосом у человека?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46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23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 45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10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10. Как называется ферментативная реакция </w:t>
      </w:r>
      <w:proofErr w:type="spellStart"/>
      <w:r w:rsidRPr="00640F7B">
        <w:rPr>
          <w:rFonts w:ascii="Times New Roman" w:hAnsi="Times New Roman"/>
          <w:sz w:val="28"/>
          <w:szCs w:val="28"/>
        </w:rPr>
        <w:t>in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F7B">
        <w:rPr>
          <w:rFonts w:ascii="Times New Roman" w:hAnsi="Times New Roman"/>
          <w:sz w:val="28"/>
          <w:szCs w:val="28"/>
        </w:rPr>
        <w:t>vitro</w:t>
      </w:r>
      <w:proofErr w:type="spellEnd"/>
      <w:r w:rsidRPr="00640F7B">
        <w:rPr>
          <w:rFonts w:ascii="Times New Roman" w:hAnsi="Times New Roman"/>
          <w:sz w:val="28"/>
          <w:szCs w:val="28"/>
        </w:rPr>
        <w:t>, которая контролируется ДНК-полимеразой?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А)ПЦР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Б)электрофорез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lastRenderedPageBreak/>
        <w:t>В)энергетическая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реакция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40F7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11. Что такое «эгоистичная ДНК»?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неизвестными функциями или не выполняющая определённые функции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прокариотического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неизвестными функциями или не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известными функциями или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это большая часть </w:t>
      </w:r>
      <w:proofErr w:type="spellStart"/>
      <w:r w:rsidRPr="00640F7B">
        <w:rPr>
          <w:rFonts w:ascii="Times New Roman" w:hAnsi="Times New Roman"/>
          <w:sz w:val="28"/>
          <w:szCs w:val="28"/>
        </w:rPr>
        <w:t>эукариотического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генома с известными функциями или выполняющая определённые функции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12. Процесс образования дополнительных копий участков хромосомной ДНК – это: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 дифференциация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Б) амплификация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 транскрипция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трансдукция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13. Ген – это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 Участок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 Участок РНК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proofErr w:type="gramStart"/>
      <w:r w:rsidRPr="00640F7B">
        <w:rPr>
          <w:rFonts w:ascii="Times New Roman" w:hAnsi="Times New Roman"/>
          <w:sz w:val="28"/>
          <w:szCs w:val="28"/>
        </w:rPr>
        <w:t>В )Молекула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белка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Г) Признак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14. Основными структурными частями клетки являются: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Белки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Ядро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Цитоплазма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 Жиры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Д). Клеточная оболочка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Е) Верно </w:t>
      </w:r>
      <w:proofErr w:type="gramStart"/>
      <w:r w:rsidRPr="00640F7B">
        <w:rPr>
          <w:rFonts w:ascii="Times New Roman" w:hAnsi="Times New Roman"/>
          <w:sz w:val="28"/>
          <w:szCs w:val="28"/>
        </w:rPr>
        <w:t>А,Б</w:t>
      </w:r>
      <w:proofErr w:type="gramEnd"/>
      <w:r w:rsidRPr="00640F7B">
        <w:rPr>
          <w:rFonts w:ascii="Times New Roman" w:hAnsi="Times New Roman"/>
          <w:sz w:val="28"/>
          <w:szCs w:val="28"/>
        </w:rPr>
        <w:t>,В,Г,Д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Ж). Верно </w:t>
      </w:r>
      <w:proofErr w:type="gramStart"/>
      <w:r w:rsidRPr="00640F7B">
        <w:rPr>
          <w:rFonts w:ascii="Times New Roman" w:hAnsi="Times New Roman"/>
          <w:sz w:val="28"/>
          <w:szCs w:val="28"/>
        </w:rPr>
        <w:t>Б,В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,Д.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15.Хромосомная ДНК может быть выделена из: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Лимфоцитов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Эритроцитов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Любых ядросодержащих клеток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Верно 1,3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Д). Верно 1,2,3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16.Первый этап получения препарата ДНК методом органической экстракции: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А). Лизис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Кипячение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В). Экстракция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Осаждение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 Связывание ДНК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17.Денатурация ДНК происходит при температуре: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72°С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55°С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В). 95°С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Г). 75°С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Д). 80°С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18. Какое из утверждений является верным: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</w:t>
      </w:r>
      <w:proofErr w:type="gramStart"/>
      <w:r w:rsidRPr="00640F7B">
        <w:rPr>
          <w:rFonts w:ascii="Times New Roman" w:hAnsi="Times New Roman"/>
          <w:sz w:val="28"/>
          <w:szCs w:val="28"/>
        </w:rPr>
        <w:t>).ДНК</w:t>
      </w:r>
      <w:proofErr w:type="gramEnd"/>
      <w:r w:rsidRPr="00640F7B">
        <w:rPr>
          <w:rFonts w:ascii="Times New Roman" w:hAnsi="Times New Roman"/>
          <w:sz w:val="28"/>
          <w:szCs w:val="28"/>
        </w:rPr>
        <w:t xml:space="preserve"> одинакова во всех клетках одного организма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ДНК отличается в разных тканях одного организма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В). ДНК отличается </w:t>
      </w:r>
      <w:proofErr w:type="spellStart"/>
      <w:r w:rsidRPr="00640F7B">
        <w:rPr>
          <w:rFonts w:ascii="Times New Roman" w:hAnsi="Times New Roman"/>
          <w:sz w:val="28"/>
          <w:szCs w:val="28"/>
        </w:rPr>
        <w:t>вразных</w:t>
      </w:r>
      <w:proofErr w:type="spellEnd"/>
      <w:r w:rsidRPr="00640F7B">
        <w:rPr>
          <w:rFonts w:ascii="Times New Roman" w:hAnsi="Times New Roman"/>
          <w:sz w:val="28"/>
          <w:szCs w:val="28"/>
        </w:rPr>
        <w:t xml:space="preserve"> клетках одного организма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lastRenderedPageBreak/>
        <w:t>19. Предметом генетической экспертизы являются: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А). Следы и иные объекты биологического происхождения от живых лиц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и трупов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Материалы уголовных и гражданских дел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В). Все вышеперечисленное 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20. Допустимо ли проведение сравнительного анализа препаратов ДНК,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полученных из биологических образцов разного тканевого происхождения: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 xml:space="preserve">А). Допустимо </w:t>
      </w:r>
    </w:p>
    <w:p w:rsidR="00640F7B" w:rsidRDefault="00640F7B" w:rsidP="00640F7B">
      <w:pPr>
        <w:rPr>
          <w:rFonts w:ascii="Times New Roman" w:hAnsi="Times New Roman"/>
          <w:sz w:val="28"/>
          <w:szCs w:val="28"/>
        </w:rPr>
      </w:pPr>
      <w:r w:rsidRPr="00640F7B">
        <w:rPr>
          <w:rFonts w:ascii="Times New Roman" w:hAnsi="Times New Roman"/>
          <w:sz w:val="28"/>
          <w:szCs w:val="28"/>
        </w:rPr>
        <w:t>Б). Не допустимо</w:t>
      </w: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  <w:r w:rsidRPr="00640F7B">
        <w:rPr>
          <w:rFonts w:ascii="Times New Roman" w:hAnsi="Times New Roman"/>
          <w:b/>
          <w:sz w:val="28"/>
          <w:szCs w:val="28"/>
        </w:rPr>
        <w:t xml:space="preserve">Задачи. </w:t>
      </w:r>
    </w:p>
    <w:p w:rsidR="00640F7B" w:rsidRPr="00037555" w:rsidRDefault="00640F7B" w:rsidP="00640F7B">
      <w:pPr>
        <w:tabs>
          <w:tab w:val="left" w:pos="0"/>
        </w:tabs>
        <w:ind w:firstLine="708"/>
        <w:contextualSpacing/>
        <w:jc w:val="center"/>
        <w:rPr>
          <w:b/>
          <w:sz w:val="28"/>
          <w:szCs w:val="28"/>
        </w:rPr>
      </w:pPr>
      <w:r w:rsidRPr="00037555">
        <w:rPr>
          <w:b/>
          <w:sz w:val="28"/>
          <w:szCs w:val="28"/>
        </w:rPr>
        <w:t>Задача № 1.</w:t>
      </w:r>
    </w:p>
    <w:p w:rsidR="00640F7B" w:rsidRPr="00037555" w:rsidRDefault="00640F7B" w:rsidP="00640F7B">
      <w:pPr>
        <w:tabs>
          <w:tab w:val="left" w:pos="0"/>
        </w:tabs>
        <w:ind w:firstLine="75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1. На представленной таблице   №1 представлен результат электрофореза 2 образцов (папа, ребенок</w:t>
      </w:r>
      <w:proofErr w:type="gramStart"/>
      <w:r w:rsidRPr="00037555">
        <w:rPr>
          <w:bCs/>
          <w:sz w:val="28"/>
          <w:szCs w:val="28"/>
        </w:rPr>
        <w:t>) .</w:t>
      </w:r>
      <w:proofErr w:type="gramEnd"/>
      <w:r w:rsidRPr="00037555">
        <w:rPr>
          <w:bCs/>
          <w:sz w:val="28"/>
          <w:szCs w:val="28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Полученные после генетического анализа результаты суммированы в следующей таблице:</w:t>
      </w:r>
    </w:p>
    <w:tbl>
      <w:tblPr>
        <w:tblW w:w="9245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 w:rsidR="00640F7B" w:rsidRPr="00037555" w:rsidTr="00BF5299">
        <w:trPr>
          <w:trHeight w:val="582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Локус</w:t>
            </w:r>
          </w:p>
        </w:tc>
        <w:tc>
          <w:tcPr>
            <w:tcW w:w="2713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 xml:space="preserve">Генотип предполагаемого отца </w:t>
            </w:r>
          </w:p>
        </w:tc>
        <w:tc>
          <w:tcPr>
            <w:tcW w:w="2268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Генотип ребенка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Генотип матери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 w:rsidRPr="00037555">
              <w:rPr>
                <w:bCs/>
                <w:sz w:val="28"/>
                <w:szCs w:val="28"/>
              </w:rPr>
              <w:t>Amelogenin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X/Y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</w:rPr>
              <w:t>X/</w:t>
            </w:r>
            <w:r w:rsidRPr="00037555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X/X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D3S1358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14/16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16/17.3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442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10/12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Penta E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7/20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10/19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12/13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D18S51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14/16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23/24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16/25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CSF1PO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Penta D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9/13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TH01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8/9.3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6/10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6/9.3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VWA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16/19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D21S11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28/31.2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30/33.2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30/33.2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10/13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TPOX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DYS391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D8S1179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10/10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15/15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21/23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D19S433</w:t>
            </w:r>
          </w:p>
        </w:tc>
        <w:tc>
          <w:tcPr>
            <w:tcW w:w="2713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15/15.2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14/14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FGA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19/20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24/25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20/25</w:t>
            </w:r>
          </w:p>
        </w:tc>
      </w:tr>
      <w:tr w:rsidR="00640F7B" w:rsidRPr="00037555" w:rsidTr="00BF5299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3755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85" w:type="dxa"/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16/16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Cs/>
                <w:sz w:val="28"/>
                <w:szCs w:val="28"/>
                <w:lang w:val="en-US"/>
              </w:rPr>
            </w:pPr>
            <w:r w:rsidRPr="00037555">
              <w:rPr>
                <w:bCs/>
                <w:sz w:val="28"/>
                <w:szCs w:val="28"/>
                <w:lang w:val="en-US"/>
              </w:rPr>
              <w:t>11/11</w:t>
            </w:r>
          </w:p>
        </w:tc>
      </w:tr>
    </w:tbl>
    <w:p w:rsidR="00627C93" w:rsidRDefault="00627C93" w:rsidP="00640F7B">
      <w:pPr>
        <w:tabs>
          <w:tab w:val="left" w:pos="0"/>
        </w:tabs>
        <w:rPr>
          <w:bCs/>
          <w:sz w:val="28"/>
          <w:szCs w:val="28"/>
        </w:rPr>
      </w:pPr>
    </w:p>
    <w:p w:rsidR="00640F7B" w:rsidRPr="00037555" w:rsidRDefault="00640F7B" w:rsidP="00627C93">
      <w:pPr>
        <w:tabs>
          <w:tab w:val="left" w:pos="0"/>
        </w:tabs>
        <w:jc w:val="both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Ответ: Из таблицы видно, что по 11 локусам (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1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1656,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2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441, </w:t>
      </w:r>
      <w:r w:rsidRPr="00037555">
        <w:rPr>
          <w:bCs/>
          <w:sz w:val="28"/>
          <w:szCs w:val="28"/>
          <w:lang w:val="en-US"/>
        </w:rPr>
        <w:t>PentaE</w:t>
      </w:r>
      <w:r w:rsidRPr="00037555">
        <w:rPr>
          <w:bCs/>
          <w:sz w:val="28"/>
          <w:szCs w:val="28"/>
        </w:rPr>
        <w:t xml:space="preserve">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2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1338, </w:t>
      </w:r>
      <w:r w:rsidRPr="00037555">
        <w:rPr>
          <w:bCs/>
          <w:sz w:val="28"/>
          <w:szCs w:val="28"/>
          <w:lang w:val="en-US"/>
        </w:rPr>
        <w:t>CSF</w:t>
      </w:r>
      <w:r w:rsidRPr="00037555">
        <w:rPr>
          <w:bCs/>
          <w:sz w:val="28"/>
          <w:szCs w:val="28"/>
        </w:rPr>
        <w:t>1</w:t>
      </w:r>
      <w:r w:rsidRPr="00037555">
        <w:rPr>
          <w:bCs/>
          <w:sz w:val="28"/>
          <w:szCs w:val="28"/>
          <w:lang w:val="en-US"/>
        </w:rPr>
        <w:t>PO</w:t>
      </w:r>
      <w:r w:rsidRPr="00037555">
        <w:rPr>
          <w:bCs/>
          <w:sz w:val="28"/>
          <w:szCs w:val="28"/>
        </w:rPr>
        <w:t xml:space="preserve">, </w:t>
      </w:r>
      <w:r w:rsidRPr="00037555">
        <w:rPr>
          <w:bCs/>
          <w:sz w:val="28"/>
          <w:szCs w:val="28"/>
          <w:lang w:val="en-US"/>
        </w:rPr>
        <w:t>TH</w:t>
      </w:r>
      <w:r w:rsidRPr="00037555">
        <w:rPr>
          <w:bCs/>
          <w:sz w:val="28"/>
          <w:szCs w:val="28"/>
        </w:rPr>
        <w:t xml:space="preserve">01,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21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11,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7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820,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5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818, </w:t>
      </w:r>
      <w:r w:rsidRPr="00037555">
        <w:rPr>
          <w:bCs/>
          <w:sz w:val="28"/>
          <w:szCs w:val="28"/>
          <w:lang w:val="en-US"/>
        </w:rPr>
        <w:t>D</w:t>
      </w:r>
      <w:r w:rsidRPr="00037555">
        <w:rPr>
          <w:bCs/>
          <w:sz w:val="28"/>
          <w:szCs w:val="28"/>
        </w:rPr>
        <w:t>8</w:t>
      </w:r>
      <w:r w:rsidRPr="00037555">
        <w:rPr>
          <w:bCs/>
          <w:sz w:val="28"/>
          <w:szCs w:val="28"/>
          <w:lang w:val="en-US"/>
        </w:rPr>
        <w:t>S</w:t>
      </w:r>
      <w:r w:rsidRPr="00037555">
        <w:rPr>
          <w:bCs/>
          <w:sz w:val="28"/>
          <w:szCs w:val="28"/>
        </w:rPr>
        <w:t xml:space="preserve">1179, </w:t>
      </w:r>
      <w:r w:rsidRPr="00037555">
        <w:rPr>
          <w:bCs/>
          <w:sz w:val="28"/>
          <w:szCs w:val="28"/>
          <w:lang w:val="en-US"/>
        </w:rPr>
        <w:t>FGA</w:t>
      </w:r>
      <w:r w:rsidRPr="00037555">
        <w:rPr>
          <w:bCs/>
          <w:sz w:val="28"/>
          <w:szCs w:val="28"/>
        </w:rPr>
        <w:t xml:space="preserve">) из 24 тестированных, у ребенка не имеется аллелей, общих с предполагаемым биологическим отцом, следовательно, биологическое отцовство в отношении исключается (см. п.84.12.4 приказа МЗ и СР РФ № 346н от 12 мая </w:t>
      </w:r>
      <w:r w:rsidRPr="00037555">
        <w:rPr>
          <w:bCs/>
          <w:sz w:val="28"/>
          <w:szCs w:val="28"/>
        </w:rPr>
        <w:lastRenderedPageBreak/>
        <w:t xml:space="preserve">2010 года «Об утверждении Порядка организации и производства судебно-медицинских экспертиз в государственных судебно-экспертных учреждениях РФ»). Также по локусу </w:t>
      </w:r>
      <w:r w:rsidRPr="00037555">
        <w:rPr>
          <w:bCs/>
          <w:sz w:val="28"/>
          <w:szCs w:val="28"/>
          <w:lang w:val="en-US"/>
        </w:rPr>
        <w:t>PentaE</w:t>
      </w:r>
      <w:r w:rsidRPr="00037555">
        <w:rPr>
          <w:bCs/>
          <w:sz w:val="28"/>
          <w:szCs w:val="28"/>
        </w:rPr>
        <w:t xml:space="preserve"> в генотипе ребенка обнаружена «материнская» мутация (19&gt;20).</w:t>
      </w:r>
    </w:p>
    <w:p w:rsidR="00640F7B" w:rsidRDefault="00640F7B" w:rsidP="00640F7B">
      <w:pPr>
        <w:tabs>
          <w:tab w:val="left" w:pos="0"/>
        </w:tabs>
        <w:jc w:val="center"/>
        <w:rPr>
          <w:bCs/>
          <w:sz w:val="28"/>
          <w:szCs w:val="28"/>
        </w:rPr>
      </w:pPr>
      <w:r w:rsidRPr="00640F7B">
        <w:rPr>
          <w:b/>
          <w:bCs/>
          <w:sz w:val="28"/>
          <w:szCs w:val="28"/>
        </w:rPr>
        <w:t>Задача №2</w:t>
      </w:r>
      <w:r>
        <w:rPr>
          <w:bCs/>
          <w:sz w:val="28"/>
          <w:szCs w:val="28"/>
        </w:rPr>
        <w:t>.</w:t>
      </w:r>
    </w:p>
    <w:p w:rsidR="00640F7B" w:rsidRPr="00037555" w:rsidRDefault="00640F7B" w:rsidP="00627C93">
      <w:pPr>
        <w:tabs>
          <w:tab w:val="left" w:pos="0"/>
        </w:tabs>
        <w:jc w:val="both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 xml:space="preserve"> Представлено 2 образца биологического материала (буккальный соскоб и образец высушенной крови на марле). Определить принадлежат ли образцы одному и тому же человеку. </w:t>
      </w:r>
    </w:p>
    <w:tbl>
      <w:tblPr>
        <w:tblpPr w:leftFromText="180" w:rightFromText="180" w:vertAnchor="text" w:horzAnchor="margin" w:tblpY="160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 w:rsidR="00640F7B" w:rsidRPr="00037555" w:rsidTr="00BF5299">
        <w:trPr>
          <w:cantSplit/>
          <w:trHeight w:val="841"/>
        </w:trPr>
        <w:tc>
          <w:tcPr>
            <w:tcW w:w="2518" w:type="dxa"/>
            <w:tcBorders>
              <w:bottom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t>Объект</w:t>
            </w: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Локус</w:t>
            </w:r>
          </w:p>
          <w:p w:rsidR="00640F7B" w:rsidRPr="00037555" w:rsidRDefault="00640F7B" w:rsidP="00BF5299">
            <w:pPr>
              <w:tabs>
                <w:tab w:val="left" w:pos="0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 xml:space="preserve">(набор реагентов </w:t>
            </w:r>
            <w:proofErr w:type="spellStart"/>
            <w:r w:rsidRPr="00037555">
              <w:rPr>
                <w:sz w:val="28"/>
                <w:szCs w:val="28"/>
                <w:lang w:val="en-US"/>
              </w:rPr>
              <w:t>Promega</w:t>
            </w:r>
            <w:proofErr w:type="spellEnd"/>
            <w:r w:rsidRPr="00037555">
              <w:rPr>
                <w:sz w:val="28"/>
                <w:szCs w:val="28"/>
              </w:rPr>
              <w:t xml:space="preserve"> </w:t>
            </w:r>
            <w:proofErr w:type="spellStart"/>
            <w:r w:rsidRPr="00037555">
              <w:rPr>
                <w:sz w:val="28"/>
                <w:szCs w:val="28"/>
                <w:lang w:val="en-US"/>
              </w:rPr>
              <w:t>PowerPlex</w:t>
            </w:r>
            <w:proofErr w:type="spellEnd"/>
            <w:r w:rsidRPr="00037555">
              <w:rPr>
                <w:sz w:val="28"/>
                <w:szCs w:val="28"/>
              </w:rPr>
              <w:t xml:space="preserve"> </w:t>
            </w:r>
            <w:r w:rsidRPr="00037555">
              <w:rPr>
                <w:sz w:val="28"/>
                <w:szCs w:val="28"/>
                <w:lang w:val="en-US"/>
              </w:rPr>
              <w:t>Fusion</w:t>
            </w:r>
            <w:r w:rsidRPr="00037555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t xml:space="preserve">Мазок из ротовой полости 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Обр.№1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37555">
              <w:rPr>
                <w:b/>
                <w:sz w:val="28"/>
                <w:szCs w:val="28"/>
              </w:rPr>
              <w:t>Образец крови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555">
              <w:rPr>
                <w:sz w:val="28"/>
                <w:szCs w:val="28"/>
              </w:rPr>
              <w:t>Обр.№2</w:t>
            </w:r>
          </w:p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  <w:lang w:val="en-US"/>
              </w:rPr>
              <w:t>Amelogenin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X/Y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X/Y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D3S1358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16/16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16/16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12/15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8/11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8/11</w:t>
            </w:r>
          </w:p>
        </w:tc>
      </w:tr>
      <w:tr w:rsidR="00640F7B" w:rsidRPr="00037555" w:rsidTr="00BF529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PentaE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5/14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D18S51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14/15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17/23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17/23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CSF1PO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  <w:lang w:val="en-US"/>
              </w:rPr>
              <w:t>PentaD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lastRenderedPageBreak/>
              <w:t>TH01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6/7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VWA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15/19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D21S11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28/32.2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28/32.2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11/11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TPOX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10/12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b/>
                <w:color w:val="548DD4"/>
                <w:sz w:val="28"/>
                <w:szCs w:val="28"/>
                <w:lang w:val="en-US"/>
              </w:rPr>
              <w:t>DYS391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4F81BD"/>
                <w:sz w:val="28"/>
                <w:szCs w:val="28"/>
                <w:lang w:val="en-US"/>
              </w:rPr>
            </w:pPr>
            <w:r w:rsidRPr="00037555">
              <w:rPr>
                <w:color w:val="4F81BD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contextualSpacing/>
              <w:rPr>
                <w:color w:val="4F81BD"/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5/7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D8S1179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12/12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17/17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9/12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D19S433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13/14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13/14</w:t>
            </w:r>
          </w:p>
        </w:tc>
      </w:tr>
      <w:tr w:rsidR="00640F7B" w:rsidRPr="00037555" w:rsidTr="00BF5299"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FGA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22/23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22/23</w:t>
            </w:r>
          </w:p>
        </w:tc>
      </w:tr>
      <w:tr w:rsidR="00640F7B" w:rsidRPr="00037555" w:rsidTr="00BF5299">
        <w:trPr>
          <w:gridAfter w:val="1"/>
          <w:wAfter w:w="2693" w:type="dxa"/>
        </w:trPr>
        <w:tc>
          <w:tcPr>
            <w:tcW w:w="2518" w:type="dxa"/>
            <w:shd w:val="clear" w:color="auto" w:fill="auto"/>
            <w:vAlign w:val="bottom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en-US"/>
              </w:rPr>
            </w:pPr>
            <w:r w:rsidRPr="00037555">
              <w:rPr>
                <w:color w:val="000000"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037555">
              <w:rPr>
                <w:sz w:val="28"/>
                <w:szCs w:val="28"/>
                <w:lang w:val="en-US"/>
              </w:rPr>
              <w:t>11/19</w:t>
            </w:r>
          </w:p>
        </w:tc>
      </w:tr>
    </w:tbl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40F7B" w:rsidRDefault="00640F7B" w:rsidP="00640F7B">
      <w:pPr>
        <w:rPr>
          <w:rFonts w:ascii="Times New Roman" w:hAnsi="Times New Roman"/>
          <w:b/>
          <w:sz w:val="28"/>
          <w:szCs w:val="28"/>
        </w:rPr>
      </w:pPr>
    </w:p>
    <w:p w:rsidR="00627C93" w:rsidRDefault="00627C93" w:rsidP="00640F7B">
      <w:pPr>
        <w:tabs>
          <w:tab w:val="left" w:pos="0"/>
        </w:tabs>
        <w:rPr>
          <w:sz w:val="28"/>
          <w:szCs w:val="28"/>
        </w:rPr>
      </w:pPr>
    </w:p>
    <w:p w:rsidR="00627C93" w:rsidRDefault="00627C93" w:rsidP="00640F7B">
      <w:pPr>
        <w:tabs>
          <w:tab w:val="left" w:pos="0"/>
        </w:tabs>
        <w:rPr>
          <w:sz w:val="28"/>
          <w:szCs w:val="28"/>
        </w:rPr>
      </w:pPr>
    </w:p>
    <w:p w:rsidR="00640F7B" w:rsidRPr="00037555" w:rsidRDefault="00640F7B" w:rsidP="00627C93">
      <w:pPr>
        <w:tabs>
          <w:tab w:val="left" w:pos="0"/>
        </w:tabs>
        <w:jc w:val="both"/>
        <w:rPr>
          <w:sz w:val="28"/>
          <w:szCs w:val="28"/>
        </w:rPr>
      </w:pPr>
      <w:r w:rsidRPr="00037555">
        <w:rPr>
          <w:sz w:val="28"/>
          <w:szCs w:val="28"/>
        </w:rPr>
        <w:t xml:space="preserve">Ответ: На основании данного исследования установлено, что по всем этим 18 локусам имеются совпадающие аллели между </w:t>
      </w:r>
      <w:r w:rsidR="00627C93">
        <w:rPr>
          <w:sz w:val="28"/>
          <w:szCs w:val="28"/>
        </w:rPr>
        <w:t>аллелями, составляющими генотип</w:t>
      </w:r>
      <w:r w:rsidRPr="00037555">
        <w:rPr>
          <w:sz w:val="28"/>
          <w:szCs w:val="28"/>
        </w:rPr>
        <w:t xml:space="preserve"> образца 1 и аллелями, входящими в состав генотипа образца </w:t>
      </w:r>
      <w:proofErr w:type="gramStart"/>
      <w:r w:rsidRPr="00037555">
        <w:rPr>
          <w:sz w:val="28"/>
          <w:szCs w:val="28"/>
        </w:rPr>
        <w:t>2  из</w:t>
      </w:r>
      <w:proofErr w:type="gramEnd"/>
      <w:r w:rsidRPr="00037555">
        <w:rPr>
          <w:sz w:val="28"/>
          <w:szCs w:val="28"/>
        </w:rPr>
        <w:t xml:space="preserve"> предоставленной копии заключения эксперта, что с большой долей вероятности говорит о принадлежности обоих выявленных генотипов одному лицу.</w:t>
      </w:r>
    </w:p>
    <w:p w:rsidR="00640F7B" w:rsidRDefault="00640F7B" w:rsidP="00640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№3.</w:t>
      </w:r>
    </w:p>
    <w:p w:rsidR="00640F7B" w:rsidRPr="00037555" w:rsidRDefault="00640F7B" w:rsidP="00627C93">
      <w:pPr>
        <w:tabs>
          <w:tab w:val="left" w:pos="0"/>
        </w:tabs>
        <w:jc w:val="both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На представленной таблице   №2 представлен результат электрофореза 2 образцов (пап</w:t>
      </w:r>
      <w:r w:rsidR="00627C93">
        <w:rPr>
          <w:bCs/>
          <w:sz w:val="28"/>
          <w:szCs w:val="28"/>
        </w:rPr>
        <w:t>а, ребенок)</w:t>
      </w:r>
      <w:r w:rsidRPr="00037555">
        <w:rPr>
          <w:bCs/>
          <w:sz w:val="28"/>
          <w:szCs w:val="28"/>
        </w:rPr>
        <w:t>.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</w:p>
    <w:p w:rsidR="00640F7B" w:rsidRPr="00037555" w:rsidRDefault="00640F7B" w:rsidP="00640F7B">
      <w:pPr>
        <w:tabs>
          <w:tab w:val="left" w:pos="0"/>
        </w:tabs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t>Полученные после генетического анализа результаты суммированы в следующей таблице:</w:t>
      </w:r>
    </w:p>
    <w:tbl>
      <w:tblPr>
        <w:tblW w:w="6083" w:type="dxa"/>
        <w:tblInd w:w="93" w:type="dxa"/>
        <w:tblLook w:val="04A0" w:firstRow="1" w:lastRow="0" w:firstColumn="1" w:lastColumn="0" w:noHBand="0" w:noVBand="1"/>
      </w:tblPr>
      <w:tblGrid>
        <w:gridCol w:w="1583"/>
        <w:gridCol w:w="1840"/>
        <w:gridCol w:w="1360"/>
        <w:gridCol w:w="1300"/>
      </w:tblGrid>
      <w:tr w:rsidR="00640F7B" w:rsidRPr="00037555" w:rsidTr="00640F7B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Amelogenin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X/X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lastRenderedPageBreak/>
              <w:t>D3S1358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D1S1656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15/16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D2S441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10/11.3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D10S1248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14/14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D13S317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PentaE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D16S539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D18S51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14/15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D2S1338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24/24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18/18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CSF1PO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PentaD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9/9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TH01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6/9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037555">
              <w:rPr>
                <w:color w:val="000000"/>
                <w:sz w:val="28"/>
                <w:szCs w:val="28"/>
              </w:rPr>
              <w:t>vWA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14/18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D21S11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30.2/31.2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30.2/31.2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28/30.2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D7S820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9/10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D5S818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TPOX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8/9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9/11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11/11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DYS391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5B9BD5"/>
                <w:sz w:val="28"/>
                <w:szCs w:val="28"/>
              </w:rPr>
            </w:pPr>
            <w:r w:rsidRPr="00037555">
              <w:rPr>
                <w:color w:val="5B9BD5"/>
                <w:sz w:val="28"/>
                <w:szCs w:val="28"/>
              </w:rPr>
              <w:t>Нет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D8S1179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12/18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10/14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D12S391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15/19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17/19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D19S433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13/13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FGA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21/22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22/22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19/22</w:t>
            </w:r>
          </w:p>
        </w:tc>
      </w:tr>
      <w:tr w:rsidR="00640F7B" w:rsidRPr="00037555" w:rsidTr="00640F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D22S1045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11/17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7B" w:rsidRPr="00037555" w:rsidRDefault="00640F7B" w:rsidP="00BF529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37555">
              <w:rPr>
                <w:color w:val="000000"/>
                <w:sz w:val="28"/>
                <w:szCs w:val="28"/>
              </w:rPr>
              <w:t>16/16</w:t>
            </w:r>
          </w:p>
        </w:tc>
      </w:tr>
    </w:tbl>
    <w:p w:rsidR="00640F7B" w:rsidRPr="00037555" w:rsidRDefault="00640F7B" w:rsidP="00627C93">
      <w:pPr>
        <w:tabs>
          <w:tab w:val="left" w:pos="0"/>
        </w:tabs>
        <w:jc w:val="both"/>
        <w:rPr>
          <w:bCs/>
          <w:sz w:val="28"/>
          <w:szCs w:val="28"/>
        </w:rPr>
      </w:pPr>
      <w:r w:rsidRPr="00037555">
        <w:rPr>
          <w:bCs/>
          <w:sz w:val="28"/>
          <w:szCs w:val="28"/>
        </w:rPr>
        <w:lastRenderedPageBreak/>
        <w:t>Ответ: Из таблицы видно, что по 23</w:t>
      </w:r>
      <w:r w:rsidRPr="00037555">
        <w:rPr>
          <w:bCs/>
          <w:sz w:val="28"/>
          <w:szCs w:val="28"/>
        </w:rPr>
        <w:fldChar w:fldCharType="begin"/>
      </w:r>
      <w:r w:rsidRPr="00037555">
        <w:rPr>
          <w:bCs/>
          <w:sz w:val="28"/>
          <w:szCs w:val="28"/>
        </w:rPr>
        <w:instrText xml:space="preserve"> QUOTE  \* Arabic  \* MERGEFORMAT </w:instrText>
      </w:r>
      <w:r w:rsidRPr="00037555">
        <w:rPr>
          <w:bCs/>
          <w:sz w:val="28"/>
          <w:szCs w:val="28"/>
        </w:rPr>
        <w:fldChar w:fldCharType="end"/>
      </w:r>
      <w:r w:rsidRPr="00037555">
        <w:rPr>
          <w:bCs/>
          <w:sz w:val="28"/>
          <w:szCs w:val="28"/>
        </w:rPr>
        <w:fldChar w:fldCharType="begin"/>
      </w:r>
      <w:r w:rsidRPr="00037555">
        <w:rPr>
          <w:bCs/>
          <w:sz w:val="28"/>
          <w:szCs w:val="28"/>
        </w:rPr>
        <w:instrText xml:space="preserve"> ASK   \* MERGEFORMAT </w:instrText>
      </w:r>
      <w:r w:rsidRPr="00037555">
        <w:rPr>
          <w:bCs/>
          <w:sz w:val="28"/>
          <w:szCs w:val="28"/>
        </w:rPr>
        <w:fldChar w:fldCharType="end"/>
      </w:r>
      <w:r w:rsidRPr="00037555">
        <w:rPr>
          <w:bCs/>
          <w:sz w:val="28"/>
          <w:szCs w:val="28"/>
        </w:rPr>
        <w:t xml:space="preserve"> тестированным локусам имеются совпадающие аллели между аллелями, составляющими генотип ребенка и аллелями, входящими в состав генотипа предполагаемого отца. Типирование проводили по </w:t>
      </w:r>
      <w:proofErr w:type="spellStart"/>
      <w:r w:rsidRPr="00037555">
        <w:rPr>
          <w:bCs/>
          <w:sz w:val="28"/>
          <w:szCs w:val="28"/>
        </w:rPr>
        <w:t>гипервариабельным</w:t>
      </w:r>
      <w:proofErr w:type="spellEnd"/>
      <w:r w:rsidRPr="00037555">
        <w:rPr>
          <w:bCs/>
          <w:sz w:val="28"/>
          <w:szCs w:val="28"/>
        </w:rPr>
        <w:t xml:space="preserve"> районам геномной ДНК, расположенным на разных хромосомах. Каждый из этих районов наследуется практически независимо друг от дру</w:t>
      </w:r>
      <w:bookmarkStart w:id="0" w:name="_GoBack"/>
      <w:bookmarkEnd w:id="0"/>
      <w:r w:rsidRPr="00037555">
        <w:rPr>
          <w:bCs/>
          <w:sz w:val="28"/>
          <w:szCs w:val="28"/>
        </w:rPr>
        <w:t xml:space="preserve">га. На основании генетической экспертизы данного спорного отцовства установлено, что по 23 тестированным локусам имеются совпадающие аллели между аллелями, составляющими генотип ребенка аллелями, входящими в состав генотипов матери и предполагаемого отца поэтому биологическое отцовство </w:t>
      </w:r>
      <w:proofErr w:type="gramStart"/>
      <w:r w:rsidRPr="00037555">
        <w:rPr>
          <w:bCs/>
          <w:sz w:val="28"/>
          <w:szCs w:val="28"/>
        </w:rPr>
        <w:t>в отношении</w:t>
      </w:r>
      <w:proofErr w:type="gramEnd"/>
      <w:r w:rsidRPr="00037555">
        <w:rPr>
          <w:bCs/>
          <w:sz w:val="28"/>
          <w:szCs w:val="28"/>
        </w:rPr>
        <w:t xml:space="preserve"> не исключается. Вероятность биологического отцовства составляет 99,999999999997%, что соответствует уровню доказательности, указанному в п. 84.12.6 приказа МЗ и СР РФ № 346н от 12 мая 2010 года «Об утверждении Порядка организации и производства судебно-медицинских экспертиз в государственных судебно-экспертных учреждениях РФ»).</w:t>
      </w:r>
    </w:p>
    <w:p w:rsidR="00640F7B" w:rsidRPr="00640F7B" w:rsidRDefault="00640F7B" w:rsidP="00640F7B">
      <w:pPr>
        <w:rPr>
          <w:rFonts w:ascii="Times New Roman" w:hAnsi="Times New Roman"/>
          <w:sz w:val="28"/>
          <w:szCs w:val="28"/>
        </w:rPr>
      </w:pPr>
    </w:p>
    <w:sectPr w:rsidR="00640F7B" w:rsidRPr="00640F7B" w:rsidSect="0020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67DA"/>
    <w:multiLevelType w:val="multilevel"/>
    <w:tmpl w:val="15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E"/>
    <w:rsid w:val="002031D3"/>
    <w:rsid w:val="004B1480"/>
    <w:rsid w:val="00627C93"/>
    <w:rsid w:val="00640F7B"/>
    <w:rsid w:val="006D37A0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366A-2C18-4818-A972-BF9BB9F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xpert.ru/index.php?page=pages&amp;id_page=259&amp;name=dnk-identifikatsiya_obyektov_povyishennoy_slojnosti_%28volosyi,_tkani_i_t.d.%29&amp;cat=173&amp;id=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expert.ru/index.php?page=pages&amp;id_page=261&amp;name=ustanovlenie_rodstva&amp;cat=173&amp;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expert.ru/index.php?page=pages&amp;id_page=258&amp;name=analiz_dnk_na_ustanovlenie_materinstva&amp;cat=173&amp;id=115" TargetMode="External"/><Relationship Id="rId5" Type="http://schemas.openxmlformats.org/officeDocument/2006/relationships/hyperlink" Target="http://rostexpert.ru/index.php?page=pages&amp;id_page=203&amp;name=ustanovlenie_ottsovstva&amp;cat=173&amp;id=1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Сербаева Акерке</cp:lastModifiedBy>
  <cp:revision>2</cp:revision>
  <dcterms:created xsi:type="dcterms:W3CDTF">2022-10-04T04:11:00Z</dcterms:created>
  <dcterms:modified xsi:type="dcterms:W3CDTF">2022-10-04T04:11:00Z</dcterms:modified>
</cp:coreProperties>
</file>